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29" w:type="pct"/>
        <w:tblCellSpacing w:w="0" w:type="dxa"/>
        <w:tblCellMar>
          <w:left w:w="0" w:type="dxa"/>
          <w:right w:w="0" w:type="dxa"/>
        </w:tblCellMar>
        <w:tblLook w:val="04A0"/>
      </w:tblPr>
      <w:tblGrid>
        <w:gridCol w:w="8306"/>
      </w:tblGrid>
      <w:tr w:rsidR="00D73DA8" w:rsidRPr="00D73DA8" w:rsidTr="00D73DA8">
        <w:trPr>
          <w:trHeight w:val="1033"/>
          <w:tblCellSpacing w:w="0" w:type="dxa"/>
        </w:trPr>
        <w:tc>
          <w:tcPr>
            <w:tcW w:w="0" w:type="auto"/>
            <w:vAlign w:val="center"/>
            <w:hideMark/>
          </w:tcPr>
          <w:p w:rsidR="00D73DA8" w:rsidRPr="00D73DA8" w:rsidRDefault="00D73DA8" w:rsidP="00D73DA8">
            <w:pPr>
              <w:adjustRightInd/>
              <w:snapToGrid/>
              <w:spacing w:after="0" w:line="432" w:lineRule="auto"/>
              <w:rPr>
                <w:rFonts w:ascii="宋体" w:eastAsia="宋体" w:hAnsi="宋体" w:cs="宋体"/>
                <w:b/>
                <w:bCs/>
                <w:color w:val="000000"/>
                <w:sz w:val="36"/>
                <w:szCs w:val="36"/>
              </w:rPr>
            </w:pPr>
            <w:r>
              <w:rPr>
                <w:rFonts w:ascii="宋体" w:eastAsia="宋体" w:hAnsi="宋体" w:cs="宋体"/>
                <w:noProof/>
                <w:color w:val="000000"/>
                <w:sz w:val="18"/>
                <w:szCs w:val="18"/>
              </w:rPr>
              <w:drawing>
                <wp:inline distT="0" distB="0" distL="0" distR="0">
                  <wp:extent cx="5373769" cy="2619375"/>
                  <wp:effectExtent l="19050" t="0" r="0" b="0"/>
                  <wp:docPr id="1" name="图片 3" descr="点击浏览下一页">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点击浏览下一页">
                            <a:hlinkClick r:id="rId4" tgtFrame="_blank"/>
                          </pic:cNvPr>
                          <pic:cNvPicPr>
                            <a:picLocks noChangeAspect="1" noChangeArrowheads="1"/>
                          </pic:cNvPicPr>
                        </pic:nvPicPr>
                        <pic:blipFill>
                          <a:blip r:embed="rId5" cstate="print"/>
                          <a:srcRect/>
                          <a:stretch>
                            <a:fillRect/>
                          </a:stretch>
                        </pic:blipFill>
                        <pic:spPr bwMode="auto">
                          <a:xfrm>
                            <a:off x="0" y="0"/>
                            <a:ext cx="5373769" cy="2619375"/>
                          </a:xfrm>
                          <a:prstGeom prst="rect">
                            <a:avLst/>
                          </a:prstGeom>
                          <a:noFill/>
                          <a:ln w="9525">
                            <a:noFill/>
                            <a:miter lim="800000"/>
                            <a:headEnd/>
                            <a:tailEnd/>
                          </a:ln>
                        </pic:spPr>
                      </pic:pic>
                    </a:graphicData>
                  </a:graphic>
                </wp:inline>
              </w:drawing>
            </w:r>
          </w:p>
        </w:tc>
      </w:tr>
      <w:tr w:rsidR="00D73DA8" w:rsidRPr="00D73DA8" w:rsidTr="00D73DA8">
        <w:trPr>
          <w:trHeight w:val="387"/>
          <w:tblCellSpacing w:w="0" w:type="dxa"/>
        </w:trPr>
        <w:tc>
          <w:tcPr>
            <w:tcW w:w="0" w:type="auto"/>
            <w:vAlign w:val="center"/>
            <w:hideMark/>
          </w:tcPr>
          <w:p w:rsidR="00D73DA8" w:rsidRPr="00D73DA8" w:rsidRDefault="00D73DA8" w:rsidP="00D73DA8">
            <w:pPr>
              <w:adjustRightInd/>
              <w:snapToGrid/>
              <w:spacing w:after="0" w:line="432" w:lineRule="auto"/>
              <w:jc w:val="center"/>
              <w:rPr>
                <w:rFonts w:ascii="宋体" w:eastAsia="宋体" w:hAnsi="宋体" w:cs="宋体"/>
                <w:color w:val="000000"/>
                <w:sz w:val="18"/>
                <w:szCs w:val="18"/>
              </w:rPr>
            </w:pPr>
          </w:p>
        </w:tc>
      </w:tr>
    </w:tbl>
    <w:p w:rsidR="00D73DA8" w:rsidRPr="00D73DA8" w:rsidRDefault="00D73DA8" w:rsidP="00D73DA8">
      <w:pPr>
        <w:adjustRightInd/>
        <w:snapToGrid/>
        <w:spacing w:after="0" w:line="432" w:lineRule="auto"/>
        <w:rPr>
          <w:rFonts w:ascii="宋体" w:eastAsia="宋体" w:hAnsi="宋体" w:cs="宋体"/>
          <w:vanish/>
          <w:color w:val="000000"/>
          <w:sz w:val="18"/>
          <w:szCs w:val="18"/>
        </w:rPr>
      </w:pPr>
    </w:p>
    <w:tbl>
      <w:tblPr>
        <w:tblW w:w="5000" w:type="pct"/>
        <w:tblCellSpacing w:w="0" w:type="dxa"/>
        <w:tblCellMar>
          <w:left w:w="0" w:type="dxa"/>
          <w:right w:w="0" w:type="dxa"/>
        </w:tblCellMar>
        <w:tblLook w:val="04A0"/>
      </w:tblPr>
      <w:tblGrid>
        <w:gridCol w:w="8306"/>
      </w:tblGrid>
      <w:tr w:rsidR="00D73DA8" w:rsidRPr="00D73DA8">
        <w:trPr>
          <w:tblCellSpacing w:w="0" w:type="dxa"/>
        </w:trPr>
        <w:tc>
          <w:tcPr>
            <w:tcW w:w="0" w:type="auto"/>
            <w:vAlign w:val="center"/>
            <w:hideMark/>
          </w:tcPr>
          <w:p w:rsidR="00D73DA8" w:rsidRPr="00D73DA8" w:rsidRDefault="00D73DA8" w:rsidP="00D73DA8">
            <w:pPr>
              <w:adjustRightInd/>
              <w:snapToGrid/>
              <w:spacing w:after="0" w:line="432" w:lineRule="auto"/>
              <w:rPr>
                <w:rFonts w:ascii="宋体" w:eastAsia="宋体" w:hAnsi="宋体" w:cs="宋体"/>
                <w:color w:val="000000"/>
                <w:sz w:val="18"/>
                <w:szCs w:val="18"/>
              </w:rPr>
            </w:pPr>
            <w:r>
              <w:rPr>
                <w:rFonts w:ascii="宋体" w:eastAsia="宋体" w:hAnsi="宋体" w:cs="宋体"/>
                <w:noProof/>
                <w:color w:val="000000"/>
                <w:sz w:val="18"/>
                <w:szCs w:val="18"/>
              </w:rPr>
              <w:drawing>
                <wp:inline distT="0" distB="0" distL="0" distR="0">
                  <wp:extent cx="5362575" cy="4468813"/>
                  <wp:effectExtent l="19050" t="0" r="9525" b="0"/>
                  <wp:docPr id="6" name="图片 4" descr="点击浏览下一页">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点击浏览下一页">
                            <a:hlinkClick r:id="rId6" tgtFrame="_blank"/>
                          </pic:cNvPr>
                          <pic:cNvPicPr>
                            <a:picLocks noChangeAspect="1" noChangeArrowheads="1"/>
                          </pic:cNvPicPr>
                        </pic:nvPicPr>
                        <pic:blipFill>
                          <a:blip r:embed="rId7" cstate="print"/>
                          <a:srcRect/>
                          <a:stretch>
                            <a:fillRect/>
                          </a:stretch>
                        </pic:blipFill>
                        <pic:spPr bwMode="auto">
                          <a:xfrm>
                            <a:off x="0" y="0"/>
                            <a:ext cx="5362575" cy="4468813"/>
                          </a:xfrm>
                          <a:prstGeom prst="rect">
                            <a:avLst/>
                          </a:prstGeom>
                          <a:noFill/>
                          <a:ln w="9525">
                            <a:noFill/>
                            <a:miter lim="800000"/>
                            <a:headEnd/>
                            <a:tailEnd/>
                          </a:ln>
                        </pic:spPr>
                      </pic:pic>
                    </a:graphicData>
                  </a:graphic>
                </wp:inline>
              </w:drawing>
            </w:r>
            <w:r>
              <w:rPr>
                <w:rFonts w:ascii="宋体" w:eastAsia="宋体" w:hAnsi="宋体" w:cs="宋体"/>
                <w:noProof/>
                <w:color w:val="000000"/>
                <w:sz w:val="18"/>
                <w:szCs w:val="18"/>
              </w:rPr>
              <w:drawing>
                <wp:inline distT="0" distB="0" distL="0" distR="0">
                  <wp:extent cx="5657850" cy="47625"/>
                  <wp:effectExtent l="19050" t="0" r="0" b="0"/>
                  <wp:docPr id="2" name="图片 2" descr="http://www.zzsskl.gov.cn/image/nry02g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zsskl.gov.cn/image/nry02g_08.gif"/>
                          <pic:cNvPicPr>
                            <a:picLocks noChangeAspect="1" noChangeArrowheads="1"/>
                          </pic:cNvPicPr>
                        </pic:nvPicPr>
                        <pic:blipFill>
                          <a:blip r:embed="rId8" cstate="print"/>
                          <a:srcRect/>
                          <a:stretch>
                            <a:fillRect/>
                          </a:stretch>
                        </pic:blipFill>
                        <pic:spPr bwMode="auto">
                          <a:xfrm>
                            <a:off x="0" y="0"/>
                            <a:ext cx="5657850" cy="47625"/>
                          </a:xfrm>
                          <a:prstGeom prst="rect">
                            <a:avLst/>
                          </a:prstGeom>
                          <a:noFill/>
                          <a:ln w="9525">
                            <a:noFill/>
                            <a:miter lim="800000"/>
                            <a:headEnd/>
                            <a:tailEnd/>
                          </a:ln>
                        </pic:spPr>
                      </pic:pic>
                    </a:graphicData>
                  </a:graphic>
                </wp:inline>
              </w:drawing>
            </w:r>
          </w:p>
        </w:tc>
      </w:tr>
    </w:tbl>
    <w:p w:rsidR="00D73DA8" w:rsidRPr="00D73DA8" w:rsidRDefault="00D73DA8" w:rsidP="00D73DA8">
      <w:pPr>
        <w:adjustRightInd/>
        <w:snapToGrid/>
        <w:spacing w:after="0" w:line="432" w:lineRule="auto"/>
        <w:rPr>
          <w:rFonts w:ascii="宋体" w:eastAsia="宋体" w:hAnsi="宋体" w:cs="宋体"/>
          <w:vanish/>
          <w:color w:val="000000"/>
          <w:sz w:val="18"/>
          <w:szCs w:val="18"/>
        </w:rPr>
      </w:pPr>
    </w:p>
    <w:tbl>
      <w:tblPr>
        <w:tblW w:w="4800" w:type="pct"/>
        <w:jc w:val="center"/>
        <w:tblCellSpacing w:w="0" w:type="dxa"/>
        <w:tblCellMar>
          <w:left w:w="0" w:type="dxa"/>
          <w:right w:w="0" w:type="dxa"/>
        </w:tblCellMar>
        <w:tblLook w:val="04A0"/>
      </w:tblPr>
      <w:tblGrid>
        <w:gridCol w:w="7974"/>
      </w:tblGrid>
      <w:tr w:rsidR="00D73DA8" w:rsidRPr="00D73DA8">
        <w:trPr>
          <w:tblCellSpacing w:w="0" w:type="dxa"/>
          <w:jc w:val="center"/>
        </w:trPr>
        <w:tc>
          <w:tcPr>
            <w:tcW w:w="0" w:type="auto"/>
            <w:vAlign w:val="center"/>
            <w:hideMark/>
          </w:tcPr>
          <w:p w:rsidR="00D73DA8" w:rsidRPr="00D73DA8" w:rsidRDefault="00D73DA8" w:rsidP="00D73DA8">
            <w:pPr>
              <w:adjustRightInd/>
              <w:snapToGrid/>
              <w:spacing w:before="100" w:beforeAutospacing="1" w:after="100" w:afterAutospacing="1" w:line="432" w:lineRule="auto"/>
              <w:rPr>
                <w:rFonts w:ascii="宋体" w:eastAsia="宋体" w:hAnsi="宋体" w:cs="宋体"/>
                <w:color w:val="000000"/>
                <w:sz w:val="18"/>
                <w:szCs w:val="18"/>
              </w:rPr>
            </w:pPr>
          </w:p>
          <w:p w:rsidR="00D73DA8" w:rsidRPr="00D73DA8" w:rsidRDefault="00D73DA8" w:rsidP="00D73DA8">
            <w:pPr>
              <w:adjustRightInd/>
              <w:snapToGrid/>
              <w:spacing w:before="100" w:beforeAutospacing="1" w:after="100" w:afterAutospacing="1" w:line="432" w:lineRule="auto"/>
              <w:rPr>
                <w:rFonts w:ascii="宋体" w:eastAsia="宋体" w:hAnsi="宋体" w:cs="宋体"/>
                <w:color w:val="000000"/>
                <w:sz w:val="18"/>
                <w:szCs w:val="18"/>
              </w:rPr>
            </w:pPr>
          </w:p>
          <w:p w:rsidR="00D73DA8" w:rsidRDefault="00D73DA8" w:rsidP="00D73DA8">
            <w:pPr>
              <w:shd w:val="solid" w:color="FFFFFF" w:fill="auto"/>
              <w:adjustRightInd/>
              <w:snapToGrid/>
              <w:spacing w:after="0" w:line="600" w:lineRule="exact"/>
              <w:jc w:val="center"/>
              <w:rPr>
                <w:rFonts w:ascii="方正小标宋简体" w:eastAsia="方正小标宋简体" w:hAnsi="黑体" w:cs="宋体" w:hint="eastAsia"/>
                <w:color w:val="000000"/>
                <w:sz w:val="44"/>
                <w:szCs w:val="20"/>
                <w:shd w:val="clear" w:color="auto" w:fill="FFFFFF"/>
              </w:rPr>
            </w:pPr>
          </w:p>
          <w:p w:rsidR="00D73DA8" w:rsidRPr="00D73DA8" w:rsidRDefault="00D73DA8" w:rsidP="00D73DA8">
            <w:pPr>
              <w:shd w:val="solid" w:color="FFFFFF" w:fill="auto"/>
              <w:adjustRightInd/>
              <w:snapToGrid/>
              <w:spacing w:after="0" w:line="600" w:lineRule="exact"/>
              <w:jc w:val="center"/>
              <w:rPr>
                <w:rFonts w:ascii="宋体" w:eastAsia="宋体" w:hAnsi="宋体" w:cs="宋体"/>
                <w:color w:val="000000"/>
                <w:sz w:val="24"/>
                <w:szCs w:val="24"/>
              </w:rPr>
            </w:pPr>
            <w:r w:rsidRPr="00D73DA8">
              <w:rPr>
                <w:rFonts w:ascii="方正小标宋简体" w:eastAsia="方正小标宋简体" w:hAnsi="黑体" w:cs="宋体" w:hint="eastAsia"/>
                <w:color w:val="000000"/>
                <w:sz w:val="44"/>
                <w:szCs w:val="20"/>
                <w:shd w:val="clear" w:color="auto" w:fill="FFFFFF"/>
              </w:rPr>
              <w:lastRenderedPageBreak/>
              <w:t>株洲市第十二届哲学社会科学优秀成果</w:t>
            </w:r>
          </w:p>
          <w:p w:rsidR="00D73DA8" w:rsidRPr="00D73DA8" w:rsidRDefault="00D73DA8" w:rsidP="00D73DA8">
            <w:pPr>
              <w:shd w:val="solid" w:color="FFFFFF" w:fill="auto"/>
              <w:adjustRightInd/>
              <w:snapToGrid/>
              <w:spacing w:after="0" w:line="600" w:lineRule="exact"/>
              <w:jc w:val="center"/>
              <w:rPr>
                <w:rFonts w:ascii="宋体" w:eastAsia="宋体" w:hAnsi="宋体" w:cs="宋体"/>
                <w:color w:val="000000"/>
                <w:sz w:val="24"/>
                <w:szCs w:val="24"/>
              </w:rPr>
            </w:pPr>
            <w:r w:rsidRPr="00D73DA8">
              <w:rPr>
                <w:rFonts w:ascii="方正小标宋简体" w:eastAsia="方正小标宋简体" w:hAnsi="黑体" w:cs="宋体" w:hint="eastAsia"/>
                <w:color w:val="000000"/>
                <w:sz w:val="44"/>
                <w:szCs w:val="20"/>
                <w:shd w:val="clear" w:color="auto" w:fill="FFFFFF"/>
              </w:rPr>
              <w:t>评奖实施方案</w:t>
            </w:r>
          </w:p>
          <w:p w:rsidR="00D73DA8" w:rsidRPr="00D73DA8" w:rsidRDefault="00D73DA8" w:rsidP="00D73DA8">
            <w:pPr>
              <w:shd w:val="solid" w:color="FFFFFF" w:fill="auto"/>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仿宋_gb2312" w:cs="宋体" w:hint="eastAsia"/>
                <w:color w:val="000000"/>
                <w:sz w:val="32"/>
                <w:szCs w:val="32"/>
                <w:shd w:val="clear" w:color="auto" w:fill="FFFFFF"/>
              </w:rPr>
              <w:t>为了认真做好本届哲学社会科学优秀成果评奖，依据中共株洲市委办公室、株洲市人民政府办公室《关于印发&lt;株洲市哲学社会科学评选奖励办法&gt;的通知》（株办〔2009〕17号）精神，特制定本方案。</w:t>
            </w:r>
          </w:p>
          <w:p w:rsidR="00D73DA8" w:rsidRPr="00D73DA8" w:rsidRDefault="00D73DA8" w:rsidP="00D73DA8">
            <w:pPr>
              <w:shd w:val="solid" w:color="FFFFFF" w:fill="auto"/>
              <w:adjustRightInd/>
              <w:snapToGrid/>
              <w:spacing w:beforeLines="50" w:afterLines="50" w:line="600" w:lineRule="exact"/>
              <w:ind w:firstLineChars="200" w:firstLine="640"/>
              <w:rPr>
                <w:rFonts w:ascii="宋体" w:eastAsia="宋体" w:hAnsi="宋体" w:cs="宋体"/>
                <w:color w:val="000000"/>
                <w:sz w:val="24"/>
                <w:szCs w:val="24"/>
              </w:rPr>
            </w:pPr>
            <w:r w:rsidRPr="00D73DA8">
              <w:rPr>
                <w:rFonts w:ascii="黑体" w:eastAsia="黑体" w:hAnsi="黑体" w:cs="宋体" w:hint="eastAsia"/>
                <w:color w:val="000000"/>
                <w:sz w:val="32"/>
                <w:szCs w:val="32"/>
                <w:shd w:val="clear" w:color="auto" w:fill="FFFFFF"/>
              </w:rPr>
              <w:t>一、奖励名称、级别、颁奖单位</w:t>
            </w:r>
          </w:p>
          <w:p w:rsidR="00D73DA8" w:rsidRPr="00D73DA8" w:rsidRDefault="00D73DA8" w:rsidP="00D73DA8">
            <w:pPr>
              <w:shd w:val="solid" w:color="FFFFFF" w:fill="auto"/>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仿宋_gb2312" w:cs="宋体" w:hint="eastAsia"/>
                <w:color w:val="000000"/>
                <w:sz w:val="32"/>
                <w:szCs w:val="32"/>
                <w:shd w:val="clear" w:color="auto" w:fill="FFFFFF"/>
              </w:rPr>
              <w:t>本次评奖定名为“株洲市第十二届哲学社会科学优秀成果奖”。该奖励是株洲市哲学社会科学优秀成果的最高奖励，属市委、市政府奖，受中共株洲市委、株洲市人民政府的委托，本次奖励由株洲市社会科学成果规划评审委员会(以下简称“市评审委”)评定、颁发证书。</w:t>
            </w:r>
          </w:p>
          <w:p w:rsidR="00D73DA8" w:rsidRPr="00D73DA8" w:rsidRDefault="00D73DA8" w:rsidP="00D73DA8">
            <w:pPr>
              <w:shd w:val="solid" w:color="FFFFFF" w:fill="auto"/>
              <w:adjustRightInd/>
              <w:snapToGrid/>
              <w:spacing w:beforeLines="50" w:afterLines="50" w:line="600" w:lineRule="exact"/>
              <w:ind w:firstLineChars="200" w:firstLine="640"/>
              <w:rPr>
                <w:rFonts w:ascii="宋体" w:eastAsia="宋体" w:hAnsi="宋体" w:cs="宋体"/>
                <w:color w:val="000000"/>
                <w:sz w:val="24"/>
                <w:szCs w:val="24"/>
              </w:rPr>
            </w:pPr>
            <w:r w:rsidRPr="00D73DA8">
              <w:rPr>
                <w:rFonts w:ascii="黑体" w:eastAsia="黑体" w:hAnsi="黑体" w:cs="宋体" w:hint="eastAsia"/>
                <w:color w:val="000000"/>
                <w:sz w:val="32"/>
                <w:szCs w:val="32"/>
                <w:shd w:val="clear" w:color="auto" w:fill="FFFFFF"/>
              </w:rPr>
              <w:t>二、评奖的指导思想</w:t>
            </w:r>
          </w:p>
          <w:p w:rsidR="00D73DA8" w:rsidRPr="00D73DA8" w:rsidRDefault="00D73DA8" w:rsidP="00D73DA8">
            <w:pPr>
              <w:shd w:val="solid" w:color="FFFFFF" w:fill="auto"/>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仿宋_gb2312" w:cs="宋体" w:hint="eastAsia"/>
                <w:color w:val="000000"/>
                <w:sz w:val="32"/>
                <w:szCs w:val="32"/>
                <w:shd w:val="clear" w:color="auto" w:fill="FFFFFF"/>
              </w:rPr>
              <w:t>㈠坚持以马列主义、毛泽东思想、邓小平理论、“三个代表”重要思想和科学发展观为指导，</w:t>
            </w:r>
            <w:r w:rsidRPr="00D73DA8">
              <w:rPr>
                <w:rFonts w:ascii="仿宋_gb2312" w:eastAsia="仿宋_gb2312" w:hAnsi="宋体" w:cs="宋体" w:hint="eastAsia"/>
                <w:color w:val="000000"/>
                <w:sz w:val="32"/>
                <w:szCs w:val="32"/>
              </w:rPr>
              <w:t>深入贯彻习近平总书记系列重要讲话精神，贯彻尊重知识、尊重人才的方针，</w:t>
            </w:r>
            <w:r w:rsidRPr="00D73DA8">
              <w:rPr>
                <w:rFonts w:ascii="仿宋_gb2312" w:eastAsia="仿宋_gb2312" w:hAnsi="仿宋_gb2312" w:cs="宋体" w:hint="eastAsia"/>
                <w:color w:val="000000"/>
                <w:sz w:val="32"/>
                <w:szCs w:val="32"/>
                <w:shd w:val="clear" w:color="auto" w:fill="FFFFFF"/>
              </w:rPr>
              <w:t>注重评选研究全面建成小康社会、全面深化改革、全面依法治国、全面从严治党重大理论和实践问题，特别是地方经济社会发展重大问题研究方面所取得的创新成果，同时也注意评选在学科建设特别是在优长学科、地方特色学科研究方面取得优秀成果。</w:t>
            </w:r>
          </w:p>
          <w:p w:rsidR="00D73DA8" w:rsidRPr="00D73DA8" w:rsidRDefault="00D73DA8" w:rsidP="00D73DA8">
            <w:pPr>
              <w:shd w:val="solid" w:color="FFFFFF" w:fill="auto"/>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仿宋_gb2312" w:cs="宋体" w:hint="eastAsia"/>
                <w:color w:val="000000"/>
                <w:sz w:val="32"/>
                <w:szCs w:val="32"/>
                <w:shd w:val="clear" w:color="auto" w:fill="FFFFFF"/>
              </w:rPr>
              <w:lastRenderedPageBreak/>
              <w:t>㈡在同等情况下，优先考虑国家社科基金、省社科规划、省评审委、市评审委立项并已结题的成果，以及市委、市政府确定的并经市评审委鉴定合格的重大调研课题。</w:t>
            </w:r>
          </w:p>
          <w:p w:rsidR="00D73DA8" w:rsidRPr="00D73DA8" w:rsidRDefault="00D73DA8" w:rsidP="00D73DA8">
            <w:pPr>
              <w:shd w:val="solid" w:color="FFFFFF" w:fill="auto"/>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仿宋_gb2312" w:cs="宋体" w:hint="eastAsia"/>
                <w:color w:val="000000"/>
                <w:sz w:val="32"/>
                <w:szCs w:val="32"/>
                <w:shd w:val="clear" w:color="auto" w:fill="FFFFFF"/>
              </w:rPr>
              <w:t>㈢坚持以成果质量为依据，以本方案规定的评奖标准为准绳，按照“客观、公正、民主、择优”的原则开展评选活动。</w:t>
            </w:r>
          </w:p>
          <w:p w:rsidR="00D73DA8" w:rsidRPr="00D73DA8" w:rsidRDefault="00D73DA8" w:rsidP="00D73DA8">
            <w:pPr>
              <w:shd w:val="solid" w:color="FFFFFF" w:fill="auto"/>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仿宋_gb2312" w:cs="宋体" w:hint="eastAsia"/>
                <w:color w:val="000000"/>
                <w:sz w:val="32"/>
                <w:szCs w:val="32"/>
                <w:shd w:val="clear" w:color="auto" w:fill="FFFFFF"/>
              </w:rPr>
              <w:t>㈣为了促进全市社科研究全面协调可持续发展，适当照顾社科研究力量相对较弱的地区和单位。</w:t>
            </w:r>
          </w:p>
          <w:p w:rsidR="00D73DA8" w:rsidRPr="00D73DA8" w:rsidRDefault="00D73DA8" w:rsidP="00D73DA8">
            <w:pPr>
              <w:shd w:val="solid" w:color="FFFFFF" w:fill="auto"/>
              <w:adjustRightInd/>
              <w:snapToGrid/>
              <w:spacing w:beforeLines="50" w:afterLines="50" w:line="600" w:lineRule="exact"/>
              <w:ind w:firstLine="437"/>
              <w:rPr>
                <w:rFonts w:ascii="宋体" w:eastAsia="宋体" w:hAnsi="宋体" w:cs="宋体"/>
                <w:color w:val="000000"/>
                <w:sz w:val="24"/>
                <w:szCs w:val="24"/>
              </w:rPr>
            </w:pPr>
            <w:r w:rsidRPr="00D73DA8">
              <w:rPr>
                <w:rFonts w:ascii="黑体" w:eastAsia="黑体" w:hAnsi="黑体" w:cs="宋体" w:hint="eastAsia"/>
                <w:color w:val="000000"/>
                <w:sz w:val="32"/>
                <w:szCs w:val="32"/>
                <w:shd w:val="clear" w:color="auto" w:fill="FFFFFF"/>
              </w:rPr>
              <w:t>三、评奖范围和申报条件</w:t>
            </w:r>
          </w:p>
          <w:p w:rsidR="00D73DA8" w:rsidRPr="00D73DA8" w:rsidRDefault="00D73DA8" w:rsidP="00D73DA8">
            <w:pPr>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宋体" w:cs="宋体" w:hint="eastAsia"/>
                <w:color w:val="000000"/>
                <w:sz w:val="32"/>
                <w:szCs w:val="32"/>
              </w:rPr>
              <w:t>（一）关于申报人</w:t>
            </w:r>
          </w:p>
          <w:p w:rsidR="00D73DA8" w:rsidRPr="00D73DA8" w:rsidRDefault="00D73DA8" w:rsidP="00D73DA8">
            <w:pPr>
              <w:adjustRightInd/>
              <w:snapToGrid/>
              <w:spacing w:after="0" w:line="600" w:lineRule="exact"/>
              <w:rPr>
                <w:rFonts w:ascii="宋体" w:eastAsia="宋体" w:hAnsi="宋体" w:cs="宋体"/>
                <w:color w:val="000000"/>
                <w:sz w:val="24"/>
                <w:szCs w:val="24"/>
              </w:rPr>
            </w:pPr>
            <w:r w:rsidRPr="00D73DA8">
              <w:rPr>
                <w:rFonts w:ascii="仿宋_gb2312" w:eastAsia="仿宋_gb2312" w:hAnsi="宋体" w:cs="宋体" w:hint="eastAsia"/>
                <w:color w:val="000000"/>
                <w:sz w:val="32"/>
                <w:szCs w:val="32"/>
              </w:rPr>
              <w:t>1.享有公民权利、在株洲市工作的社科理论工作者和实际工作者。</w:t>
            </w:r>
          </w:p>
          <w:p w:rsidR="00D73DA8" w:rsidRPr="00D73DA8" w:rsidRDefault="00D73DA8" w:rsidP="00D73DA8">
            <w:pPr>
              <w:adjustRightInd/>
              <w:snapToGrid/>
              <w:spacing w:after="0" w:line="600" w:lineRule="exact"/>
              <w:rPr>
                <w:rFonts w:ascii="宋体" w:eastAsia="宋体" w:hAnsi="宋体" w:cs="宋体"/>
                <w:color w:val="000000"/>
                <w:sz w:val="24"/>
                <w:szCs w:val="24"/>
              </w:rPr>
            </w:pPr>
            <w:r w:rsidRPr="00D73DA8">
              <w:rPr>
                <w:rFonts w:ascii="仿宋_gb2312" w:eastAsia="仿宋_gb2312" w:hAnsi="宋体" w:cs="宋体" w:hint="eastAsia"/>
                <w:color w:val="000000"/>
                <w:sz w:val="32"/>
                <w:szCs w:val="32"/>
              </w:rPr>
              <w:t>2.著作权归属不明确和不符合《中华人民共和国著作权法》的成果不能申报。有抄袭、剽窃他人成果或其它弄虚作假行为等问题的成果不能申报。</w:t>
            </w:r>
          </w:p>
          <w:p w:rsidR="00D73DA8" w:rsidRPr="00D73DA8" w:rsidRDefault="00D73DA8" w:rsidP="00D73DA8">
            <w:pPr>
              <w:adjustRightInd/>
              <w:snapToGrid/>
              <w:spacing w:after="0" w:line="600" w:lineRule="exact"/>
              <w:rPr>
                <w:rFonts w:ascii="宋体" w:eastAsia="宋体" w:hAnsi="宋体" w:cs="宋体"/>
                <w:color w:val="000000"/>
                <w:sz w:val="24"/>
                <w:szCs w:val="24"/>
              </w:rPr>
            </w:pPr>
            <w:r w:rsidRPr="00D73DA8">
              <w:rPr>
                <w:rFonts w:ascii="仿宋_gb2312" w:eastAsia="仿宋_gb2312" w:hAnsi="宋体" w:cs="宋体" w:hint="eastAsia"/>
                <w:color w:val="000000"/>
                <w:sz w:val="32"/>
                <w:szCs w:val="32"/>
              </w:rPr>
              <w:t>3.我市人员与外市人员合作的集体成果，必须是我市人员任主编或撰写篇幅在二分之一以上，需出具相关有效证明，且征得合作者书面同意后，才能由我市作者申报。</w:t>
            </w:r>
          </w:p>
          <w:p w:rsidR="00D73DA8" w:rsidRPr="00D73DA8" w:rsidRDefault="00D73DA8" w:rsidP="00D73DA8">
            <w:pPr>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宋体" w:cs="宋体" w:hint="eastAsia"/>
                <w:color w:val="000000"/>
                <w:sz w:val="32"/>
                <w:szCs w:val="32"/>
              </w:rPr>
              <w:t>（二）关于申报成果</w:t>
            </w:r>
          </w:p>
          <w:p w:rsidR="00D73DA8" w:rsidRPr="00D73DA8" w:rsidRDefault="00D73DA8" w:rsidP="00D73DA8">
            <w:pPr>
              <w:adjustRightInd/>
              <w:snapToGrid/>
              <w:spacing w:after="0" w:line="600" w:lineRule="exact"/>
              <w:rPr>
                <w:rFonts w:ascii="宋体" w:eastAsia="宋体" w:hAnsi="宋体" w:cs="宋体"/>
                <w:color w:val="000000"/>
                <w:sz w:val="24"/>
                <w:szCs w:val="24"/>
              </w:rPr>
            </w:pPr>
            <w:r w:rsidRPr="00D73DA8">
              <w:rPr>
                <w:rFonts w:ascii="仿宋_gb2312" w:eastAsia="仿宋_gb2312" w:hAnsi="宋体" w:cs="宋体" w:hint="eastAsia"/>
                <w:color w:val="000000"/>
                <w:sz w:val="32"/>
                <w:szCs w:val="32"/>
              </w:rPr>
              <w:t>1.成果时间：2013年1月1日至2014年12月31日期间</w:t>
            </w:r>
            <w:r w:rsidRPr="00D73DA8">
              <w:rPr>
                <w:rFonts w:ascii="仿宋_gb2312" w:eastAsia="仿宋_gb2312" w:hAnsi="宋体" w:cs="宋体" w:hint="eastAsia"/>
                <w:color w:val="000000"/>
                <w:sz w:val="32"/>
                <w:szCs w:val="32"/>
              </w:rPr>
              <w:lastRenderedPageBreak/>
              <w:t>产生的社科成果。</w:t>
            </w:r>
          </w:p>
          <w:p w:rsidR="00D73DA8" w:rsidRPr="00D73DA8" w:rsidRDefault="00D73DA8" w:rsidP="00D73DA8">
            <w:pPr>
              <w:adjustRightInd/>
              <w:snapToGrid/>
              <w:spacing w:after="0" w:line="600" w:lineRule="exact"/>
              <w:rPr>
                <w:rFonts w:ascii="宋体" w:eastAsia="宋体" w:hAnsi="宋体" w:cs="宋体"/>
                <w:color w:val="000000"/>
                <w:sz w:val="24"/>
                <w:szCs w:val="24"/>
              </w:rPr>
            </w:pPr>
            <w:r w:rsidRPr="00D73DA8">
              <w:rPr>
                <w:rFonts w:ascii="仿宋_gb2312" w:eastAsia="仿宋_gb2312" w:hAnsi="宋体" w:cs="宋体" w:hint="eastAsia"/>
                <w:color w:val="000000"/>
                <w:sz w:val="32"/>
                <w:szCs w:val="32"/>
              </w:rPr>
              <w:t>2.申报数量：每人最多申报1项个人成果和1项集体成果，即申报成果的作者在本届评奖中最多以一次独著身份和一次合著身份出现。</w:t>
            </w:r>
          </w:p>
          <w:p w:rsidR="00D73DA8" w:rsidRPr="00D73DA8" w:rsidRDefault="00D73DA8" w:rsidP="00D73DA8">
            <w:pPr>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宋体" w:cs="宋体" w:hint="eastAsia"/>
                <w:color w:val="000000"/>
                <w:sz w:val="32"/>
                <w:szCs w:val="32"/>
              </w:rPr>
              <w:t>3.申报成果范围：一是在省级及以上报刊公开发表（指在标有国内统一刊号CN××－×××或国际标准刊号ISSN××××－××××的报刊上发表）的中文类社科研究论文、调研报告。二是经国家新闻出版行政管理部门批准标有国内统一书号ISBN×－×××××出版社公开出版的中文类社科专著、译著、编著（含省部级及以上教育部门、单位委托编写或认可的中文类教科书、古籍整理出版物、社科普及读物、工具书）。三是未公开发表的成果：</w:t>
            </w:r>
            <w:r w:rsidRPr="00D73DA8">
              <w:rPr>
                <w:rFonts w:ascii="仿宋_gb2312" w:eastAsia="仿宋_gb2312" w:hAnsi="仿宋_gb2312" w:cs="宋体" w:hint="eastAsia"/>
                <w:color w:val="000000"/>
                <w:sz w:val="32"/>
                <w:szCs w:val="32"/>
                <w:shd w:val="clear" w:color="auto" w:fill="FFFFFF"/>
              </w:rPr>
              <w:t>被各级党委、政府采用、推广，且产生了一定社会效益或经济效益的社科应用研究成果（需出具相关证明材料）。国家社科基金、省社科规划办、省评审委、市评审委立项结题成果（</w:t>
            </w:r>
            <w:r w:rsidRPr="00D73DA8">
              <w:rPr>
                <w:rFonts w:ascii="仿宋_gb2312" w:eastAsia="仿宋_gb2312" w:hAnsi="宋体" w:cs="宋体" w:hint="eastAsia"/>
                <w:color w:val="000000"/>
                <w:sz w:val="32"/>
                <w:szCs w:val="32"/>
              </w:rPr>
              <w:t>需出具课题结题证书或鉴定证书，成果时间以证书上的验收时间为准）。</w:t>
            </w:r>
          </w:p>
          <w:p w:rsidR="00D73DA8" w:rsidRPr="00D73DA8" w:rsidRDefault="00D73DA8" w:rsidP="00D73DA8">
            <w:pPr>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宋体" w:cs="宋体" w:hint="eastAsia"/>
                <w:color w:val="000000"/>
                <w:sz w:val="32"/>
                <w:szCs w:val="32"/>
              </w:rPr>
              <w:t>不属本届评奖范围的有：非社科研究成果，如文件、领导讲话、工作总结、时事新闻、概览、统计资料、电脑软件、文学、艺术等创作作品。</w:t>
            </w:r>
          </w:p>
          <w:p w:rsidR="00D73DA8" w:rsidRPr="00D73DA8" w:rsidRDefault="00D73DA8" w:rsidP="00D73DA8">
            <w:pPr>
              <w:adjustRightInd/>
              <w:snapToGrid/>
              <w:spacing w:after="0" w:line="600" w:lineRule="exact"/>
              <w:ind w:firstLine="645"/>
              <w:rPr>
                <w:rFonts w:ascii="宋体" w:eastAsia="宋体" w:hAnsi="宋体" w:cs="宋体"/>
                <w:color w:val="000000"/>
                <w:sz w:val="24"/>
                <w:szCs w:val="24"/>
              </w:rPr>
            </w:pPr>
            <w:r w:rsidRPr="00D73DA8">
              <w:rPr>
                <w:rFonts w:ascii="仿宋_gb2312" w:eastAsia="仿宋_gb2312" w:hAnsi="宋体" w:cs="宋体" w:hint="eastAsia"/>
                <w:color w:val="000000"/>
                <w:sz w:val="32"/>
                <w:szCs w:val="32"/>
              </w:rPr>
              <w:t>（三）有关说明</w:t>
            </w:r>
          </w:p>
          <w:p w:rsidR="00D73DA8" w:rsidRPr="00D73DA8" w:rsidRDefault="00D73DA8" w:rsidP="00D73DA8">
            <w:pPr>
              <w:adjustRightInd/>
              <w:snapToGrid/>
              <w:spacing w:after="0" w:line="600" w:lineRule="exact"/>
              <w:ind w:firstLine="645"/>
              <w:rPr>
                <w:rFonts w:ascii="宋体" w:eastAsia="宋体" w:hAnsi="宋体" w:cs="宋体"/>
                <w:color w:val="000000"/>
                <w:sz w:val="24"/>
                <w:szCs w:val="24"/>
              </w:rPr>
            </w:pPr>
            <w:r w:rsidRPr="00D73DA8">
              <w:rPr>
                <w:rFonts w:ascii="仿宋_gb2312" w:eastAsia="仿宋_gb2312" w:hAnsi="宋体" w:cs="宋体" w:hint="eastAsia"/>
                <w:color w:val="000000"/>
                <w:sz w:val="32"/>
                <w:szCs w:val="32"/>
              </w:rPr>
              <w:t>1.关于再版和重印的著作：2013年1月1日以前出版且未曾申报历届株洲市社科优秀成果奖的著作，在本</w:t>
            </w:r>
            <w:r w:rsidRPr="00D73DA8">
              <w:rPr>
                <w:rFonts w:ascii="仿宋_gb2312" w:eastAsia="仿宋_gb2312" w:hAnsi="宋体" w:cs="宋体" w:hint="eastAsia"/>
                <w:color w:val="000000"/>
                <w:sz w:val="32"/>
                <w:szCs w:val="32"/>
              </w:rPr>
              <w:lastRenderedPageBreak/>
              <w:t>届评奖规定期限内重印，其修改内容和篇幅超过三分之二以上，同时出版社出具有效证明，可申报本届评奖。</w:t>
            </w:r>
          </w:p>
          <w:p w:rsidR="00D73DA8" w:rsidRPr="00D73DA8" w:rsidRDefault="00D73DA8" w:rsidP="00D73DA8">
            <w:pPr>
              <w:adjustRightInd/>
              <w:snapToGrid/>
              <w:spacing w:after="0" w:line="600" w:lineRule="exact"/>
              <w:ind w:firstLine="645"/>
              <w:rPr>
                <w:rFonts w:ascii="宋体" w:eastAsia="宋体" w:hAnsi="宋体" w:cs="宋体"/>
                <w:color w:val="000000"/>
                <w:sz w:val="24"/>
                <w:szCs w:val="24"/>
              </w:rPr>
            </w:pPr>
            <w:r w:rsidRPr="00D73DA8">
              <w:rPr>
                <w:rFonts w:ascii="仿宋_gb2312" w:eastAsia="仿宋_gb2312" w:hAnsi="宋体" w:cs="宋体" w:hint="eastAsia"/>
                <w:color w:val="000000"/>
                <w:sz w:val="32"/>
                <w:szCs w:val="32"/>
              </w:rPr>
              <w:t>2.关于丛书：属多卷本的著作，可整体申报（以最后一本的出版时间为准）；如独立成册，也可单卷申报。系列丛书，可整体申报；系列丛书中相对独立、完整的某一著作，也可单独申报。丛书中有1本以上曾申报过株洲市社科优秀成果奖或者获得省部级及以上成果奖的，则不能整体申报；其它未曾申报过株洲市社科优秀成果奖和未曾获得过市级及以上成果奖的单本著作，可单独申报。在申报时间范围内系列丛书未全部出版，已出版部分作为系列丛书申报的，后续出版部分则不能以系列丛书形式再次申报。</w:t>
            </w:r>
          </w:p>
          <w:p w:rsidR="00D73DA8" w:rsidRPr="00D73DA8" w:rsidRDefault="00D73DA8" w:rsidP="00D73DA8">
            <w:pPr>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宋体" w:cs="宋体" w:hint="eastAsia"/>
                <w:color w:val="000000"/>
                <w:sz w:val="32"/>
                <w:szCs w:val="32"/>
              </w:rPr>
              <w:t>3.关于系列论文：同一专题的系列论文，以论文类成果申报；不属同一专题的多篇论文和调研报告不能作为系列论文申报。著作中的章节不能作为论文和系列论文申报。由同一专题的多篇调研报告或论文组成的研究成果，其中有１篇以上论文曾申报株洲市社科优秀成果奖或者获得市级及以上成果奖励的，则不能以系列论文整体申报；其它未曾申报株洲市社科优秀成果奖和未曾获得过市级及以上奖的论文，可单独申报。系列论文（含系列调研报告）如属集体成果，每篇论文或调研报告上的作者署名必须相同，否则只能作为单篇论文申报；属同一课题的系列论文署名不一致时可整体申报，</w:t>
            </w:r>
            <w:r w:rsidRPr="00D73DA8">
              <w:rPr>
                <w:rFonts w:ascii="仿宋_gb2312" w:eastAsia="仿宋_gb2312" w:hAnsi="宋体" w:cs="宋体" w:hint="eastAsia"/>
                <w:color w:val="000000"/>
                <w:sz w:val="32"/>
                <w:szCs w:val="32"/>
              </w:rPr>
              <w:lastRenderedPageBreak/>
              <w:t>同一课题的判定以每篇论文题注中的课题名称为依据。</w:t>
            </w:r>
          </w:p>
          <w:p w:rsidR="00D73DA8" w:rsidRPr="00D73DA8" w:rsidRDefault="00D73DA8" w:rsidP="00D73DA8">
            <w:pPr>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宋体" w:cs="宋体" w:hint="eastAsia"/>
                <w:color w:val="000000"/>
                <w:sz w:val="32"/>
                <w:szCs w:val="32"/>
              </w:rPr>
              <w:t>4.关于论文集：由论文或调研报告编辑而成、不是同一专题的论文集，不能以著作类成果申报；该文集内的单篇论文或调研报告，可以论文类或调研报告类成果申报。出自一人或多人之手的同一专题的论文集，可以按著作类成果申报，其所有论文必须是未曾获过市级及以上奖励的。</w:t>
            </w:r>
          </w:p>
          <w:p w:rsidR="00D73DA8" w:rsidRPr="00D73DA8" w:rsidRDefault="00D73DA8" w:rsidP="00D73DA8">
            <w:pPr>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宋体" w:cs="宋体" w:hint="eastAsia"/>
                <w:color w:val="000000"/>
                <w:sz w:val="32"/>
                <w:szCs w:val="32"/>
              </w:rPr>
              <w:t>5.关于集体成果：多人集体成果不能以个人名义申报，应以集体名义申报。集体成果原则上应由署名第一位的作者申报，个别的也可以经该成果的所有主要研究者书面协商一致委托另外一位主要研究者申报（人数多的，最多只能确定10人为主要研究者，下同），同时排名第一至第十的作者，最多在本届评奖集体成果申报中出现1次。申报集体成果须经所有主要研究者同意，并以对科研成果贡献大小为依据排好顺序（一般以研究成果上署名排序为准），由全体主要研究者分别签名。署名为单位或课题组的集体成果，应以署名单位或课题组申报，不能以个人或参与者名义申报。</w:t>
            </w:r>
          </w:p>
          <w:p w:rsidR="00D73DA8" w:rsidRPr="00D73DA8" w:rsidRDefault="00D73DA8" w:rsidP="00D73DA8">
            <w:pPr>
              <w:adjustRightInd/>
              <w:snapToGrid/>
              <w:spacing w:after="0" w:line="600" w:lineRule="exact"/>
              <w:ind w:firstLineChars="200" w:firstLine="640"/>
              <w:rPr>
                <w:rFonts w:ascii="宋体" w:eastAsia="宋体" w:hAnsi="宋体" w:cs="宋体"/>
                <w:color w:val="000000"/>
                <w:sz w:val="24"/>
                <w:szCs w:val="24"/>
              </w:rPr>
            </w:pPr>
            <w:r w:rsidRPr="00D73DA8">
              <w:rPr>
                <w:rFonts w:ascii="黑体" w:eastAsia="黑体" w:hAnsi="黑体" w:cs="宋体" w:hint="eastAsia"/>
                <w:color w:val="000000"/>
                <w:sz w:val="32"/>
                <w:szCs w:val="32"/>
                <w:shd w:val="clear" w:color="auto" w:fill="FFFFFF"/>
              </w:rPr>
              <w:t>四、申报时间和办法</w:t>
            </w:r>
          </w:p>
          <w:p w:rsidR="00D73DA8" w:rsidRPr="00D73DA8" w:rsidRDefault="00D73DA8" w:rsidP="00D73DA8">
            <w:pPr>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仿宋_gb2312" w:cs="宋体" w:hint="eastAsia"/>
                <w:color w:val="000000"/>
                <w:sz w:val="32"/>
                <w:szCs w:val="32"/>
                <w:shd w:val="clear" w:color="auto" w:fill="FFFFFF"/>
              </w:rPr>
              <w:t>㈠申报时间：</w:t>
            </w:r>
          </w:p>
          <w:p w:rsidR="00D73DA8" w:rsidRPr="00D73DA8" w:rsidRDefault="00D73DA8" w:rsidP="00D73DA8">
            <w:pPr>
              <w:shd w:val="solid" w:color="FFFFFF" w:fill="auto"/>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仿宋_gb2312" w:cs="宋体" w:hint="eastAsia"/>
                <w:color w:val="000000"/>
                <w:sz w:val="32"/>
                <w:szCs w:val="32"/>
                <w:shd w:val="clear" w:color="auto" w:fill="FFFFFF"/>
              </w:rPr>
              <w:t>1.2015年6月1日起，成果申报单位和个人可到株洲市社会科学界联合会网站（网址：http//www.zzsskl.gov.cn）下载有关申报材料。</w:t>
            </w:r>
          </w:p>
          <w:p w:rsidR="00D73DA8" w:rsidRPr="00D73DA8" w:rsidRDefault="00D73DA8" w:rsidP="00D73DA8">
            <w:pPr>
              <w:shd w:val="solid" w:color="FFFFFF" w:fill="auto"/>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仿宋_gb2312" w:cs="宋体" w:hint="eastAsia"/>
                <w:color w:val="000000"/>
                <w:sz w:val="32"/>
                <w:szCs w:val="32"/>
                <w:shd w:val="clear" w:color="auto" w:fill="FFFFFF"/>
              </w:rPr>
              <w:lastRenderedPageBreak/>
              <w:t>2.凡符合申报条件并自愿申报者，须于2015年7月20日前，按本人所属单位（或学会），到相应的高校、党校，市级学会申报，县（市、区）个人申报成果到各县（市、区）委宣传部申报。</w:t>
            </w:r>
          </w:p>
          <w:p w:rsidR="00D73DA8" w:rsidRPr="00D73DA8" w:rsidRDefault="00D73DA8" w:rsidP="00D73DA8">
            <w:pPr>
              <w:shd w:val="solid" w:color="FFFFFF" w:fill="auto"/>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仿宋_gb2312" w:cs="宋体" w:hint="eastAsia"/>
                <w:color w:val="000000"/>
                <w:sz w:val="32"/>
                <w:szCs w:val="32"/>
                <w:shd w:val="clear" w:color="auto" w:fill="FFFFFF"/>
              </w:rPr>
              <w:t>3.2015年7月20日至7月24日为各高校、党校、市级学会，各县（市、区）委宣传部向市评审委办公室（以下简称“市评审办”）报送申报成果和材料时间。市评审办设在社科联办公室(市委大楼1228室)，联系电话：28680423。</w:t>
            </w:r>
          </w:p>
          <w:p w:rsidR="00D73DA8" w:rsidRPr="00D73DA8" w:rsidRDefault="00D73DA8" w:rsidP="00D73DA8">
            <w:pPr>
              <w:shd w:val="solid" w:color="FFFFFF" w:fill="auto"/>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仿宋_gb2312" w:cs="宋体" w:hint="eastAsia"/>
                <w:color w:val="000000"/>
                <w:sz w:val="32"/>
                <w:szCs w:val="32"/>
                <w:shd w:val="clear" w:color="auto" w:fill="FFFFFF"/>
              </w:rPr>
              <w:t>㈡申报人在申报时，须提供如下材料：</w:t>
            </w:r>
          </w:p>
          <w:p w:rsidR="00D73DA8" w:rsidRPr="00D73DA8" w:rsidRDefault="00D73DA8" w:rsidP="00D73DA8">
            <w:pPr>
              <w:shd w:val="solid" w:color="FFFFFF" w:fill="auto"/>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仿宋_gb2312" w:cs="宋体" w:hint="eastAsia"/>
                <w:color w:val="000000"/>
                <w:sz w:val="32"/>
                <w:szCs w:val="32"/>
                <w:shd w:val="clear" w:color="auto" w:fill="FFFFFF"/>
              </w:rPr>
              <w:t>1.《株洲市第十二届哲学社会科学优秀成果评奖申报表》 (以下简称《申报表》)一式3份。</w:t>
            </w:r>
          </w:p>
          <w:p w:rsidR="00D73DA8" w:rsidRPr="00D73DA8" w:rsidRDefault="00D73DA8" w:rsidP="00D73DA8">
            <w:pPr>
              <w:shd w:val="solid" w:color="FFFFFF" w:fill="auto"/>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仿宋_gb2312" w:cs="宋体" w:hint="eastAsia"/>
                <w:color w:val="000000"/>
                <w:sz w:val="32"/>
                <w:szCs w:val="32"/>
                <w:shd w:val="clear" w:color="auto" w:fill="FFFFFF"/>
              </w:rPr>
              <w:t>2.《株洲市第十二届哲学社会科学优秀成果评奖申报人及申报成果材料一览表》（以下简称《一览表》）一式4份(其中3份分别粘贴在三个成果资料袋上,1份交市评审办)。</w:t>
            </w:r>
          </w:p>
          <w:p w:rsidR="00D73DA8" w:rsidRPr="00D73DA8" w:rsidRDefault="00D73DA8" w:rsidP="00D73DA8">
            <w:pPr>
              <w:shd w:val="solid" w:color="FFFFFF" w:fill="auto"/>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仿宋_gb2312" w:cs="宋体" w:hint="eastAsia"/>
                <w:color w:val="000000"/>
                <w:sz w:val="32"/>
                <w:szCs w:val="32"/>
                <w:shd w:val="clear" w:color="auto" w:fill="FFFFFF"/>
              </w:rPr>
              <w:t>3.申报成果是著作，须提交3份原著；申报成果是论文可用3份复印件，</w:t>
            </w:r>
            <w:r w:rsidRPr="00D73DA8">
              <w:rPr>
                <w:rFonts w:ascii="仿宋_gb2312" w:eastAsia="仿宋_gb2312" w:hAnsi="宋体" w:cs="宋体" w:hint="eastAsia"/>
                <w:color w:val="000000"/>
                <w:sz w:val="32"/>
                <w:szCs w:val="32"/>
              </w:rPr>
              <w:t>论文复印包括论文封面、版权页、目录、论文全文及封底</w:t>
            </w:r>
            <w:r w:rsidRPr="00D73DA8">
              <w:rPr>
                <w:rFonts w:ascii="仿宋_gb2312" w:eastAsia="仿宋_gb2312" w:hAnsi="仿宋_gb2312" w:cs="宋体" w:hint="eastAsia"/>
                <w:color w:val="000000"/>
                <w:sz w:val="32"/>
                <w:szCs w:val="32"/>
                <w:shd w:val="clear" w:color="auto" w:fill="FFFFFF"/>
              </w:rPr>
              <w:t>。</w:t>
            </w:r>
          </w:p>
          <w:p w:rsidR="00D73DA8" w:rsidRPr="00D73DA8" w:rsidRDefault="00D73DA8" w:rsidP="00D73DA8">
            <w:pPr>
              <w:shd w:val="solid" w:color="FFFFFF" w:fill="auto"/>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仿宋_gb2312" w:cs="宋体" w:hint="eastAsia"/>
                <w:color w:val="000000"/>
                <w:sz w:val="32"/>
                <w:szCs w:val="32"/>
                <w:shd w:val="clear" w:color="auto" w:fill="FFFFFF"/>
              </w:rPr>
              <w:t>4.申报者有关证明材料或反响材料一式3份。所有证明及反响材料可用复印件，所有复印件的原件须交申报单位科研管理部门严格审核，审核无误并有本单位科研管理部门签字盖章后再由本单位向市评审办申报。</w:t>
            </w:r>
          </w:p>
          <w:p w:rsidR="00D73DA8" w:rsidRPr="00D73DA8" w:rsidRDefault="00D73DA8" w:rsidP="00D73DA8">
            <w:pPr>
              <w:shd w:val="solid" w:color="FFFFFF" w:fill="auto"/>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仿宋_gb2312" w:cs="宋体" w:hint="eastAsia"/>
                <w:color w:val="000000"/>
                <w:sz w:val="32"/>
                <w:szCs w:val="32"/>
                <w:shd w:val="clear" w:color="auto" w:fill="FFFFFF"/>
              </w:rPr>
              <w:lastRenderedPageBreak/>
              <w:t>㈢各受理申报单位要严格把关，认真填写有关表格，按时报送材料。</w:t>
            </w:r>
          </w:p>
          <w:p w:rsidR="00D73DA8" w:rsidRPr="00D73DA8" w:rsidRDefault="00D73DA8" w:rsidP="00D73DA8">
            <w:pPr>
              <w:shd w:val="solid" w:color="FFFFFF" w:fill="auto"/>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仿宋_gb2312" w:cs="宋体" w:hint="eastAsia"/>
                <w:color w:val="000000"/>
                <w:sz w:val="32"/>
                <w:szCs w:val="32"/>
                <w:shd w:val="clear" w:color="auto" w:fill="FFFFFF"/>
              </w:rPr>
              <w:t>1.申报单位应按照评奖有关要求严格审查申报材料，对不符合要求的材料一律不予受理。</w:t>
            </w:r>
          </w:p>
          <w:p w:rsidR="00D73DA8" w:rsidRPr="00D73DA8" w:rsidRDefault="00D73DA8" w:rsidP="00D73DA8">
            <w:pPr>
              <w:shd w:val="solid" w:color="FFFFFF" w:fill="auto"/>
              <w:adjustRightInd/>
              <w:snapToGrid/>
              <w:spacing w:after="0" w:line="600" w:lineRule="exact"/>
              <w:rPr>
                <w:rFonts w:ascii="宋体" w:eastAsia="宋体" w:hAnsi="宋体" w:cs="宋体"/>
                <w:color w:val="000000"/>
                <w:sz w:val="24"/>
                <w:szCs w:val="24"/>
              </w:rPr>
            </w:pPr>
            <w:r w:rsidRPr="00D73DA8">
              <w:rPr>
                <w:rFonts w:ascii="仿宋_gb2312" w:eastAsia="仿宋_gb2312" w:hAnsi="仿宋_gb2312" w:cs="宋体" w:hint="eastAsia"/>
                <w:color w:val="000000"/>
                <w:sz w:val="32"/>
                <w:szCs w:val="32"/>
                <w:shd w:val="clear" w:color="auto" w:fill="FFFFFF"/>
              </w:rPr>
              <w:t>2.申报单位受理申报材料后，应给每个申报者设置一个以申报人名字命名的文件夹，将申报者的《一览表》、《申报表（表1，2，4）》汇总在这个文件夹里。按《申报表》中“学科分类”的次序汇总所有电子表格和参评成果材料，同时按以上分类方式填写《株洲市第十二届哲学社会科学优秀成果评奖单位申报材料统计表》、《株洲市第十二届哲学社会科学应用研究成果评奖单位申报材料统计表》（以下简称《单位统计表》），然后将以上电子表格汇总于U盘并连同纸质表格和参评材料，在规定的时间内一并报送市评审办。</w:t>
            </w:r>
          </w:p>
          <w:p w:rsidR="00D73DA8" w:rsidRPr="00D73DA8" w:rsidRDefault="00D73DA8" w:rsidP="00D73DA8">
            <w:pPr>
              <w:shd w:val="solid" w:color="FFFFFF" w:fill="auto"/>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仿宋_gb2312" w:cs="宋体" w:hint="eastAsia"/>
                <w:color w:val="000000"/>
                <w:sz w:val="32"/>
                <w:szCs w:val="32"/>
                <w:shd w:val="clear" w:color="auto" w:fill="FFFFFF"/>
              </w:rPr>
              <w:t>㈣成果一经申报并受理，不论是否获奖，申报资料一律不予退还。</w:t>
            </w:r>
          </w:p>
          <w:p w:rsidR="00D73DA8" w:rsidRPr="00D73DA8" w:rsidRDefault="00D73DA8" w:rsidP="00D73DA8">
            <w:pPr>
              <w:shd w:val="solid" w:color="FFFFFF" w:fill="auto"/>
              <w:adjustRightInd/>
              <w:snapToGrid/>
              <w:spacing w:beforeLines="50" w:afterLines="50" w:line="600" w:lineRule="exact"/>
              <w:ind w:firstLine="437"/>
              <w:rPr>
                <w:rFonts w:ascii="宋体" w:eastAsia="宋体" w:hAnsi="宋体" w:cs="宋体"/>
                <w:color w:val="000000"/>
                <w:sz w:val="24"/>
                <w:szCs w:val="24"/>
              </w:rPr>
            </w:pPr>
            <w:r w:rsidRPr="00D73DA8">
              <w:rPr>
                <w:rFonts w:ascii="黑体" w:eastAsia="黑体" w:hAnsi="黑体" w:cs="宋体" w:hint="eastAsia"/>
                <w:color w:val="000000"/>
                <w:sz w:val="32"/>
                <w:szCs w:val="32"/>
                <w:shd w:val="clear" w:color="auto" w:fill="FFFFFF"/>
              </w:rPr>
              <w:t>五、奖励等级及奖励办法</w:t>
            </w:r>
          </w:p>
          <w:p w:rsidR="00D73DA8" w:rsidRPr="00D73DA8" w:rsidRDefault="00D73DA8" w:rsidP="00D73DA8">
            <w:pPr>
              <w:shd w:val="solid" w:color="FFFFFF" w:fill="auto"/>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仿宋_gb2312" w:cs="宋体" w:hint="eastAsia"/>
                <w:color w:val="000000"/>
                <w:sz w:val="32"/>
                <w:szCs w:val="32"/>
                <w:shd w:val="clear" w:color="auto" w:fill="FFFFFF"/>
              </w:rPr>
              <w:t>本次评奖设一等奖、二等奖、三等奖。获奖成果，均发给证书和奖金，有关单位应将获奖业绩记入获奖人人事档案和学术（业务）档案，作为对其考核、晋级、任用、评定专业技术职务重要依据。</w:t>
            </w:r>
          </w:p>
          <w:p w:rsidR="00D73DA8" w:rsidRPr="00D73DA8" w:rsidRDefault="00D73DA8" w:rsidP="00D73DA8">
            <w:pPr>
              <w:shd w:val="solid" w:color="FFFFFF" w:fill="auto"/>
              <w:adjustRightInd/>
              <w:snapToGrid/>
              <w:spacing w:beforeLines="50" w:afterLines="50" w:line="600" w:lineRule="exact"/>
              <w:ind w:firstLineChars="200" w:firstLine="640"/>
              <w:rPr>
                <w:rFonts w:ascii="宋体" w:eastAsia="宋体" w:hAnsi="宋体" w:cs="宋体"/>
                <w:color w:val="000000"/>
                <w:sz w:val="24"/>
                <w:szCs w:val="24"/>
              </w:rPr>
            </w:pPr>
            <w:r w:rsidRPr="00D73DA8">
              <w:rPr>
                <w:rFonts w:ascii="黑体" w:eastAsia="黑体" w:hAnsi="黑体" w:cs="宋体" w:hint="eastAsia"/>
                <w:color w:val="000000"/>
                <w:sz w:val="32"/>
                <w:szCs w:val="32"/>
                <w:shd w:val="clear" w:color="auto" w:fill="FFFFFF"/>
              </w:rPr>
              <w:t>六、组织领导</w:t>
            </w:r>
          </w:p>
          <w:p w:rsidR="00D73DA8" w:rsidRPr="00D73DA8" w:rsidRDefault="00D73DA8" w:rsidP="00D73DA8">
            <w:pPr>
              <w:shd w:val="solid" w:color="FFFFFF" w:fill="auto"/>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仿宋_gb2312" w:cs="宋体" w:hint="eastAsia"/>
                <w:color w:val="000000"/>
                <w:sz w:val="32"/>
                <w:szCs w:val="32"/>
                <w:shd w:val="clear" w:color="auto" w:fill="FFFFFF"/>
              </w:rPr>
              <w:lastRenderedPageBreak/>
              <w:t>本次评奖，市委、市政府委托市评审委负责评定，并具体组织实施。</w:t>
            </w:r>
          </w:p>
          <w:p w:rsidR="00D73DA8" w:rsidRPr="00D73DA8" w:rsidRDefault="00D73DA8" w:rsidP="00D73DA8">
            <w:pPr>
              <w:shd w:val="solid" w:color="FFFFFF" w:fill="auto"/>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仿宋_gb2312" w:cs="宋体" w:hint="eastAsia"/>
                <w:color w:val="000000"/>
                <w:sz w:val="32"/>
                <w:szCs w:val="32"/>
                <w:shd w:val="clear" w:color="auto" w:fill="FFFFFF"/>
              </w:rPr>
              <w:t>评审工作分资格审查、成果初评、成果终审、对获奖成果进行公示、发文及颁奖五个步骤进行。市评审委下设办公室，分马列·科社·哲学类，文学·史学·教育学类，经济·管理类，法学·政治·军事学类，应用研究类等五个学科评审组。学科评审组负责本次评奖的初审和初评工作，市评审委负责终评。市评审办负责日常工作。</w:t>
            </w:r>
          </w:p>
          <w:p w:rsidR="00D73DA8" w:rsidRPr="00D73DA8" w:rsidRDefault="00D73DA8" w:rsidP="00D73DA8">
            <w:pPr>
              <w:shd w:val="solid" w:color="FFFFFF" w:fill="auto"/>
              <w:adjustRightInd/>
              <w:snapToGrid/>
              <w:spacing w:after="0" w:line="600" w:lineRule="exact"/>
              <w:ind w:firstLineChars="200" w:firstLine="640"/>
              <w:rPr>
                <w:rFonts w:ascii="宋体" w:eastAsia="宋体" w:hAnsi="宋体" w:cs="宋体"/>
                <w:color w:val="000000"/>
                <w:sz w:val="24"/>
                <w:szCs w:val="24"/>
              </w:rPr>
            </w:pPr>
            <w:r w:rsidRPr="00D73DA8">
              <w:rPr>
                <w:rFonts w:ascii="仿宋_gb2312" w:eastAsia="仿宋_gb2312" w:hAnsi="仿宋_gb2312" w:cs="宋体" w:hint="eastAsia"/>
                <w:color w:val="000000"/>
                <w:sz w:val="32"/>
                <w:szCs w:val="32"/>
                <w:shd w:val="clear" w:color="auto" w:fill="FFFFFF"/>
              </w:rPr>
              <w:t>高校、党校科研处，各县（市、区）委宣传部，市级学术团体，在此次评奖活动中负责所属会员和学术团体、个人的组织宣传、申报管理、资格初审和向市评审办报送申报成果等工作。</w:t>
            </w:r>
          </w:p>
          <w:p w:rsidR="00D73DA8" w:rsidRPr="00D73DA8" w:rsidRDefault="00D73DA8" w:rsidP="00D73DA8">
            <w:pPr>
              <w:shd w:val="solid" w:color="FFFFFF" w:fill="auto"/>
              <w:adjustRightInd/>
              <w:snapToGrid/>
              <w:spacing w:beforeLines="50" w:afterLines="50" w:line="600" w:lineRule="exact"/>
              <w:ind w:firstLineChars="200" w:firstLine="640"/>
              <w:rPr>
                <w:rFonts w:ascii="宋体" w:eastAsia="宋体" w:hAnsi="宋体" w:cs="宋体"/>
                <w:color w:val="000000"/>
                <w:sz w:val="24"/>
                <w:szCs w:val="24"/>
              </w:rPr>
            </w:pPr>
            <w:r w:rsidRPr="00D73DA8">
              <w:rPr>
                <w:rFonts w:ascii="黑体" w:eastAsia="黑体" w:hAnsi="黑体" w:cs="宋体" w:hint="eastAsia"/>
                <w:color w:val="000000"/>
                <w:sz w:val="32"/>
                <w:szCs w:val="32"/>
                <w:shd w:val="clear" w:color="auto" w:fill="FFFFFF"/>
              </w:rPr>
              <w:t>七、本方案自公布之日起实施，解释权属市评审办。</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73DA8"/>
    <w:rsid w:val="00323B43"/>
    <w:rsid w:val="003D37D8"/>
    <w:rsid w:val="004358AB"/>
    <w:rsid w:val="00676385"/>
    <w:rsid w:val="008B7726"/>
    <w:rsid w:val="00D73DA8"/>
    <w:rsid w:val="00F663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3DA8"/>
    <w:pPr>
      <w:adjustRightInd/>
      <w:snapToGrid/>
      <w:spacing w:before="100" w:beforeAutospacing="1" w:after="100" w:afterAutospacing="1"/>
    </w:pPr>
    <w:rPr>
      <w:rFonts w:ascii="宋体" w:eastAsia="宋体" w:hAnsi="宋体" w:cs="宋体"/>
      <w:sz w:val="24"/>
      <w:szCs w:val="24"/>
    </w:rPr>
  </w:style>
  <w:style w:type="paragraph" w:styleId="a4">
    <w:name w:val="Balloon Text"/>
    <w:basedOn w:val="a"/>
    <w:link w:val="Char"/>
    <w:uiPriority w:val="99"/>
    <w:semiHidden/>
    <w:unhideWhenUsed/>
    <w:rsid w:val="00D73DA8"/>
    <w:pPr>
      <w:spacing w:after="0"/>
    </w:pPr>
    <w:rPr>
      <w:sz w:val="18"/>
      <w:szCs w:val="18"/>
    </w:rPr>
  </w:style>
  <w:style w:type="character" w:customStyle="1" w:styleId="Char">
    <w:name w:val="批注框文本 Char"/>
    <w:basedOn w:val="a0"/>
    <w:link w:val="a4"/>
    <w:uiPriority w:val="99"/>
    <w:semiHidden/>
    <w:rsid w:val="00D73DA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832334307">
      <w:bodyDiv w:val="1"/>
      <w:marLeft w:val="0"/>
      <w:marRight w:val="0"/>
      <w:marTop w:val="100"/>
      <w:marBottom w:val="100"/>
      <w:divBdr>
        <w:top w:val="none" w:sz="0" w:space="0" w:color="auto"/>
        <w:left w:val="none" w:sz="0" w:space="0" w:color="auto"/>
        <w:bottom w:val="none" w:sz="0" w:space="0" w:color="auto"/>
        <w:right w:val="none" w:sz="0" w:space="0" w:color="auto"/>
      </w:divBdr>
      <w:divsChild>
        <w:div w:id="986476079">
          <w:marLeft w:val="0"/>
          <w:marRight w:val="0"/>
          <w:marTop w:val="0"/>
          <w:marBottom w:val="0"/>
          <w:divBdr>
            <w:top w:val="none" w:sz="0" w:space="0" w:color="auto"/>
            <w:left w:val="none" w:sz="0" w:space="0" w:color="auto"/>
            <w:bottom w:val="none" w:sz="0" w:space="0" w:color="auto"/>
            <w:right w:val="none" w:sz="0" w:space="0" w:color="auto"/>
          </w:divBdr>
          <w:divsChild>
            <w:div w:id="7784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zsskl.gov.cn/UploadFiles/2015-06/zzsskl/2015060117404247184.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zzsskl.gov.cn/UploadFiles/2015-06/zzsskl/2015060117401778171.png"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2015-06-04T08:07:00Z</dcterms:created>
  <dcterms:modified xsi:type="dcterms:W3CDTF">2015-06-04T08:40:00Z</dcterms:modified>
</cp:coreProperties>
</file>