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27" w:rsidRPr="00BE5027" w:rsidRDefault="00BE5027" w:rsidP="00EF5058">
      <w:pPr>
        <w:widowControl/>
        <w:spacing w:after="120" w:line="420" w:lineRule="atLeast"/>
        <w:jc w:val="center"/>
        <w:rPr>
          <w:rFonts w:ascii="宋体" w:eastAsia="宋体" w:hAnsi="宋体" w:cs="宋体"/>
          <w:color w:val="000000"/>
          <w:kern w:val="0"/>
          <w:szCs w:val="21"/>
        </w:rPr>
      </w:pPr>
      <w:r w:rsidRPr="00BE5027">
        <w:rPr>
          <w:rFonts w:ascii="宋体" w:eastAsia="宋体" w:hAnsi="宋体" w:cs="宋体" w:hint="eastAsia"/>
          <w:color w:val="000000"/>
          <w:kern w:val="0"/>
          <w:szCs w:val="21"/>
        </w:rPr>
        <w:t xml:space="preserve">　　湘</w:t>
      </w:r>
      <w:proofErr w:type="gramStart"/>
      <w:r w:rsidRPr="00BE5027">
        <w:rPr>
          <w:rFonts w:ascii="宋体" w:eastAsia="宋体" w:hAnsi="宋体" w:cs="宋体" w:hint="eastAsia"/>
          <w:color w:val="000000"/>
          <w:kern w:val="0"/>
          <w:szCs w:val="21"/>
        </w:rPr>
        <w:t>社科办</w:t>
      </w:r>
      <w:proofErr w:type="gramEnd"/>
      <w:r w:rsidRPr="00BE5027">
        <w:rPr>
          <w:rFonts w:ascii="宋体" w:eastAsia="宋体" w:hAnsi="宋体" w:cs="宋体" w:hint="eastAsia"/>
          <w:color w:val="000000"/>
          <w:kern w:val="0"/>
          <w:szCs w:val="21"/>
        </w:rPr>
        <w:t>﹝2016﹞19号</w:t>
      </w:r>
    </w:p>
    <w:p w:rsidR="00BE5027" w:rsidRPr="00BE5027" w:rsidRDefault="00BE5027" w:rsidP="00EF5058">
      <w:pPr>
        <w:widowControl/>
        <w:spacing w:after="120" w:line="420" w:lineRule="atLeast"/>
        <w:jc w:val="center"/>
        <w:rPr>
          <w:rFonts w:ascii="宋体" w:eastAsia="宋体" w:hAnsi="宋体" w:cs="宋体" w:hint="eastAsia"/>
          <w:color w:val="000000"/>
          <w:kern w:val="0"/>
          <w:szCs w:val="21"/>
        </w:rPr>
      </w:pPr>
      <w:r w:rsidRPr="00BE5027">
        <w:rPr>
          <w:rFonts w:ascii="宋体" w:eastAsia="宋体" w:hAnsi="宋体" w:cs="宋体" w:hint="eastAsia"/>
          <w:b/>
          <w:bCs/>
          <w:color w:val="000000"/>
          <w:kern w:val="0"/>
          <w:szCs w:val="21"/>
        </w:rPr>
        <w:t xml:space="preserve">　　关于做好《湖南省社会科学研究基地手册（2016）》编纂工作的通知</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各社科研究基地：</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为全面总结和展示党的十八大以来我省社科研究基地建设的基本情况、工作经验及主要成果，推动省社科研究基地进一步凝练特色、扬长优势、创新发展，经研究决定编纂《湖南省社会科学研究基地手册（2016）》。现就做好编纂工作有关要求通知如下：</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一、指导思想</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全面贯彻党的十八大和十八届三中、四中、五中、六中全会精神和习近平总书记系列重要讲话精神，贯彻落</w:t>
      </w:r>
      <w:proofErr w:type="gramStart"/>
      <w:r w:rsidRPr="00BE5027">
        <w:rPr>
          <w:rFonts w:ascii="宋体" w:eastAsia="宋体" w:hAnsi="宋体" w:cs="宋体" w:hint="eastAsia"/>
          <w:color w:val="000000"/>
          <w:kern w:val="0"/>
          <w:szCs w:val="21"/>
        </w:rPr>
        <w:t>实习近</w:t>
      </w:r>
      <w:proofErr w:type="gramEnd"/>
      <w:r w:rsidRPr="00BE5027">
        <w:rPr>
          <w:rFonts w:ascii="宋体" w:eastAsia="宋体" w:hAnsi="宋体" w:cs="宋体" w:hint="eastAsia"/>
          <w:color w:val="000000"/>
          <w:kern w:val="0"/>
          <w:szCs w:val="21"/>
        </w:rPr>
        <w:t>平总书记“5·17”重要讲话精神和省委“7·8”工作会议精神，加快构建中国特色、湖南特点哲学社会科学，着力推动我省社科研究基地</w:t>
      </w:r>
      <w:proofErr w:type="gramStart"/>
      <w:r w:rsidRPr="00BE5027">
        <w:rPr>
          <w:rFonts w:ascii="宋体" w:eastAsia="宋体" w:hAnsi="宋体" w:cs="宋体" w:hint="eastAsia"/>
          <w:color w:val="000000"/>
          <w:kern w:val="0"/>
          <w:szCs w:val="21"/>
        </w:rPr>
        <w:t>凝智聚</w:t>
      </w:r>
      <w:proofErr w:type="gramEnd"/>
      <w:r w:rsidRPr="00BE5027">
        <w:rPr>
          <w:rFonts w:ascii="宋体" w:eastAsia="宋体" w:hAnsi="宋体" w:cs="宋体" w:hint="eastAsia"/>
          <w:color w:val="000000"/>
          <w:kern w:val="0"/>
          <w:szCs w:val="21"/>
        </w:rPr>
        <w:t>力、服务大局、创新发展、转型升级，多出成果、多出人才，为合力推动我省</w:t>
      </w:r>
      <w:proofErr w:type="gramStart"/>
      <w:r w:rsidRPr="00BE5027">
        <w:rPr>
          <w:rFonts w:ascii="宋体" w:eastAsia="宋体" w:hAnsi="宋体" w:cs="宋体" w:hint="eastAsia"/>
          <w:color w:val="000000"/>
          <w:kern w:val="0"/>
          <w:szCs w:val="21"/>
        </w:rPr>
        <w:t>新型智库</w:t>
      </w:r>
      <w:proofErr w:type="gramEnd"/>
      <w:r w:rsidRPr="00BE5027">
        <w:rPr>
          <w:rFonts w:ascii="宋体" w:eastAsia="宋体" w:hAnsi="宋体" w:cs="宋体" w:hint="eastAsia"/>
          <w:color w:val="000000"/>
          <w:kern w:val="0"/>
          <w:szCs w:val="21"/>
        </w:rPr>
        <w:t>建设，培育打造“湘字号”社科品牌，扎实推进“社科理论湘军”建设</w:t>
      </w:r>
      <w:proofErr w:type="gramStart"/>
      <w:r w:rsidRPr="00BE5027">
        <w:rPr>
          <w:rFonts w:ascii="宋体" w:eastAsia="宋体" w:hAnsi="宋体" w:cs="宋体" w:hint="eastAsia"/>
          <w:color w:val="000000"/>
          <w:kern w:val="0"/>
          <w:szCs w:val="21"/>
        </w:rPr>
        <w:t>作出</w:t>
      </w:r>
      <w:proofErr w:type="gramEnd"/>
      <w:r w:rsidRPr="00BE5027">
        <w:rPr>
          <w:rFonts w:ascii="宋体" w:eastAsia="宋体" w:hAnsi="宋体" w:cs="宋体" w:hint="eastAsia"/>
          <w:color w:val="000000"/>
          <w:kern w:val="0"/>
          <w:szCs w:val="21"/>
        </w:rPr>
        <w:t>积极贡献。</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二、编纂内容和责任分工</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各省社科研究基地应以文字和图表（数据）相结合的方式，上报2014年以来基地概况、基地成员、基地特色和方向、基地成果、主要经验、存在问题和下一步打算等。</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1.基地概况：主要反映基地的建立和机构设置、运行机制、研究特点、主要成绩等整体综合情</w:t>
      </w:r>
      <w:bookmarkStart w:id="0" w:name="_GoBack"/>
      <w:bookmarkEnd w:id="0"/>
      <w:r w:rsidRPr="00BE5027">
        <w:rPr>
          <w:rFonts w:ascii="宋体" w:eastAsia="宋体" w:hAnsi="宋体" w:cs="宋体" w:hint="eastAsia"/>
          <w:color w:val="000000"/>
          <w:kern w:val="0"/>
          <w:szCs w:val="21"/>
        </w:rPr>
        <w:t>况（限定在500字以内，并填写附件一）。</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2.基地成员：</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⑴基地负责人和首席专家的情况：包括基地负责人和首席专家的个人基本信息、学术背景、研究方向及代表性成果等（各限定在300字以内）。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⑵基地主要成员的情况：包括基地成员的个人基本信息、学术背景、研究方向及代表性成果等（应是真正把精力投入基地工作的专家学者，限5-10人，每人限定在200字以内）。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3.基地特色和方向：集中反映目前基地主要研究特色和方向（限定在400字以内）。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4.基地成果：主要包括基地成员围绕基地研究方向形成的研究成果，包括获得的国家和省社科基金项目、获得的省部级以上奖励、获得省部级以上领导肯定性批示以及产生重大社会影响的成果（限定在600字以内，可用图表形式反映）。</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5.主要经验：各社科研究基地在建设和管理过程中具有全国或全省影响的工作经验（限定在1200字以内）。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6.存在问题：基地目前存在的问题及改进措施等（限定在500字以内）。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lastRenderedPageBreak/>
        <w:t xml:space="preserve">　　7.下一步打算：基地发展的目标规划和相关措施（限定在800字以内）。</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三、工作要求</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1.明确专人负责。各省社科研究基地要高度重视做好此项工作，组织进行专题研究并明确落实编纂工作的责任人，按要求完成好撰稿任务，并主动与挂靠单位科研管理部门搞好工作对接。</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2.确保内容规范。编纂上报内容应全面客观、简要实在，统计数据应真实准确，文中称谓、标点符号、计量单位等均应符合国家出版物标准，所报送的文字、图表等不得涉及国家秘密和其他不宜公开发表的内容。</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3.把握工作进度。各挂靠单位科研管理部门要做好统筹安排和协调服务，对基地上报材料认真审核把关，由挂靠单位负责人审定签字并盖章确认后，于2017年1月10日前统一将编纂材料报送省社科规划办（包括纸质版和电子文档各一份，电子文档可刻录光盘或者通过邮箱发送至省社科规划办邮箱hnshekeban@163.com）。</w:t>
      </w:r>
    </w:p>
    <w:p w:rsidR="00BE5027" w:rsidRPr="00BE5027" w:rsidRDefault="00BE5027" w:rsidP="00EF5058">
      <w:pPr>
        <w:widowControl/>
        <w:spacing w:after="12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基地工作手册编纂出版工作联系人：曾明、曹文辉；联系方式：0731-82216244。地址：长沙市芙蓉区韶山路1号省委四办公楼南135室；邮编：410011。</w:t>
      </w:r>
    </w:p>
    <w:p w:rsidR="00BE5027" w:rsidRPr="00BE5027" w:rsidRDefault="00BE5027" w:rsidP="00EF5058">
      <w:pPr>
        <w:widowControl/>
        <w:spacing w:after="120" w:line="420" w:lineRule="atLeast"/>
        <w:jc w:val="righ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湖南省哲学社会科学规划基金办公室</w:t>
      </w:r>
    </w:p>
    <w:p w:rsidR="00BE5027" w:rsidRPr="00BE5027" w:rsidRDefault="00BE5027" w:rsidP="00EF5058">
      <w:pPr>
        <w:widowControl/>
        <w:spacing w:after="120" w:line="420" w:lineRule="atLeast"/>
        <w:jc w:val="righ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2016年12月1日</w:t>
      </w:r>
    </w:p>
    <w:p w:rsidR="00EF5058" w:rsidRDefault="00BE5027" w:rsidP="00BE5027">
      <w:pPr>
        <w:widowControl/>
        <w:spacing w:after="24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w:t>
      </w:r>
    </w:p>
    <w:p w:rsidR="00BE5027" w:rsidRPr="00BE5027" w:rsidRDefault="00BE5027" w:rsidP="00BE5027">
      <w:pPr>
        <w:widowControl/>
        <w:spacing w:after="240" w:line="420" w:lineRule="atLeast"/>
        <w:jc w:val="left"/>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附件一：</w:t>
      </w:r>
    </w:p>
    <w:p w:rsidR="00BE5027" w:rsidRPr="00BE5027" w:rsidRDefault="00BE5027" w:rsidP="00BE5027">
      <w:pPr>
        <w:widowControl/>
        <w:spacing w:after="240" w:line="420" w:lineRule="atLeast"/>
        <w:jc w:val="center"/>
        <w:rPr>
          <w:rFonts w:ascii="宋体" w:eastAsia="宋体" w:hAnsi="宋体" w:cs="宋体" w:hint="eastAsia"/>
          <w:color w:val="000000"/>
          <w:kern w:val="0"/>
          <w:szCs w:val="21"/>
        </w:rPr>
      </w:pPr>
      <w:r w:rsidRPr="00BE5027">
        <w:rPr>
          <w:rFonts w:ascii="宋体" w:eastAsia="宋体" w:hAnsi="宋体" w:cs="宋体" w:hint="eastAsia"/>
          <w:color w:val="000000"/>
          <w:kern w:val="0"/>
          <w:szCs w:val="21"/>
        </w:rPr>
        <w:t xml:space="preserve">　　</w:t>
      </w:r>
      <w:r w:rsidRPr="00BE5027">
        <w:rPr>
          <w:rFonts w:ascii="宋体" w:eastAsia="宋体" w:hAnsi="宋体" w:cs="宋体" w:hint="eastAsia"/>
          <w:b/>
          <w:bCs/>
          <w:color w:val="000000"/>
          <w:kern w:val="0"/>
          <w:szCs w:val="21"/>
        </w:rPr>
        <w:t>湖南省社科研究基地情况一览表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1620"/>
        <w:gridCol w:w="1620"/>
        <w:gridCol w:w="1440"/>
        <w:gridCol w:w="1440"/>
        <w:gridCol w:w="1515"/>
      </w:tblGrid>
      <w:tr w:rsidR="00BE5027" w:rsidRPr="00BE5027" w:rsidTr="00BE5027">
        <w:tc>
          <w:tcPr>
            <w:tcW w:w="1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基地名称</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挂靠单位</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基地负责人</w:t>
            </w: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首席专家</w:t>
            </w: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成立时间</w:t>
            </w: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spacing w:after="240" w:line="420" w:lineRule="atLeast"/>
              <w:jc w:val="left"/>
              <w:rPr>
                <w:rFonts w:ascii="宋体" w:eastAsia="宋体" w:hAnsi="宋体" w:cs="宋体"/>
                <w:color w:val="000000"/>
                <w:kern w:val="0"/>
                <w:sz w:val="24"/>
                <w:szCs w:val="24"/>
              </w:rPr>
            </w:pPr>
            <w:r w:rsidRPr="00BE5027">
              <w:rPr>
                <w:rFonts w:ascii="仿宋_GB2312" w:eastAsia="仿宋_GB2312" w:hAnsi="宋体" w:cs="宋体" w:hint="eastAsia"/>
                <w:color w:val="000000"/>
                <w:kern w:val="0"/>
                <w:sz w:val="28"/>
                <w:szCs w:val="28"/>
              </w:rPr>
              <w:t>成员数量</w:t>
            </w:r>
          </w:p>
        </w:tc>
      </w:tr>
      <w:tr w:rsidR="00BE5027" w:rsidRPr="00BE5027" w:rsidTr="00BE5027">
        <w:tc>
          <w:tcPr>
            <w:tcW w:w="1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r>
      <w:tr w:rsidR="00BE5027" w:rsidRPr="00BE5027" w:rsidTr="00BE5027">
        <w:tc>
          <w:tcPr>
            <w:tcW w:w="1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r>
      <w:tr w:rsidR="00BE5027" w:rsidRPr="00BE5027" w:rsidTr="00BE5027">
        <w:tc>
          <w:tcPr>
            <w:tcW w:w="1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r>
      <w:tr w:rsidR="00BE5027" w:rsidRPr="00BE5027" w:rsidTr="00BE5027">
        <w:tc>
          <w:tcPr>
            <w:tcW w:w="1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4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E5027" w:rsidRPr="00BE5027" w:rsidRDefault="00BE5027" w:rsidP="00BE5027">
            <w:pPr>
              <w:widowControl/>
              <w:jc w:val="left"/>
              <w:rPr>
                <w:rFonts w:ascii="宋体" w:eastAsia="宋体" w:hAnsi="宋体" w:cs="宋体"/>
                <w:color w:val="000000"/>
                <w:kern w:val="0"/>
                <w:szCs w:val="21"/>
              </w:rPr>
            </w:pPr>
          </w:p>
        </w:tc>
      </w:tr>
    </w:tbl>
    <w:p w:rsidR="00BE4F51" w:rsidRDefault="00EF5058"/>
    <w:sectPr w:rsidR="00BE4F51" w:rsidSect="00BE5027">
      <w:pgSz w:w="11906" w:h="16838" w:code="9"/>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27"/>
    <w:rsid w:val="00BE5027"/>
    <w:rsid w:val="00C800FD"/>
    <w:rsid w:val="00EF5058"/>
    <w:rsid w:val="00F5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0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5027"/>
    <w:rPr>
      <w:b/>
      <w:bCs/>
    </w:rPr>
  </w:style>
  <w:style w:type="paragraph" w:styleId="a5">
    <w:name w:val="Balloon Text"/>
    <w:basedOn w:val="a"/>
    <w:link w:val="Char"/>
    <w:uiPriority w:val="99"/>
    <w:semiHidden/>
    <w:unhideWhenUsed/>
    <w:rsid w:val="00EF5058"/>
    <w:rPr>
      <w:sz w:val="18"/>
      <w:szCs w:val="18"/>
    </w:rPr>
  </w:style>
  <w:style w:type="character" w:customStyle="1" w:styleId="Char">
    <w:name w:val="批注框文本 Char"/>
    <w:basedOn w:val="a0"/>
    <w:link w:val="a5"/>
    <w:uiPriority w:val="99"/>
    <w:semiHidden/>
    <w:rsid w:val="00EF50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0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5027"/>
    <w:rPr>
      <w:b/>
      <w:bCs/>
    </w:rPr>
  </w:style>
  <w:style w:type="paragraph" w:styleId="a5">
    <w:name w:val="Balloon Text"/>
    <w:basedOn w:val="a"/>
    <w:link w:val="Char"/>
    <w:uiPriority w:val="99"/>
    <w:semiHidden/>
    <w:unhideWhenUsed/>
    <w:rsid w:val="00EF5058"/>
    <w:rPr>
      <w:sz w:val="18"/>
      <w:szCs w:val="18"/>
    </w:rPr>
  </w:style>
  <w:style w:type="character" w:customStyle="1" w:styleId="Char">
    <w:name w:val="批注框文本 Char"/>
    <w:basedOn w:val="a0"/>
    <w:link w:val="a5"/>
    <w:uiPriority w:val="99"/>
    <w:semiHidden/>
    <w:rsid w:val="00EF50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2016-12-02T00:55:00Z</cp:lastPrinted>
  <dcterms:created xsi:type="dcterms:W3CDTF">2016-12-02T00:40:00Z</dcterms:created>
  <dcterms:modified xsi:type="dcterms:W3CDTF">2016-12-02T01:01:00Z</dcterms:modified>
</cp:coreProperties>
</file>